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5357E"/>
          <w:sz w:val="44"/>
        </w:rPr>
        <w:t>BINA DURACOURT</w:t>
      </w:r>
    </w:p>
    <w:p>
      <w:r>
        <w:rPr>
          <w:b/>
          <w:color w:val="E1232B"/>
          <w:sz w:val="26"/>
        </w:rPr>
        <w:t>Acrylic Sports-Court Surfacing System</w:t>
      </w:r>
    </w:p>
    <w:p>
      <w:r>
        <w:rPr>
          <w:b/>
          <w:sz w:val="24"/>
        </w:rPr>
        <w:t>GUIDE SPECIFICATION &amp; METHOD STATEMENT</w:t>
      </w:r>
    </w:p>
    <w:p>
      <w:r>
        <w:rPr>
          <w:i w:val="0"/>
          <w:color w:val="555B66"/>
          <w:sz w:val="18"/>
        </w:rPr>
        <w:t>Bina Paint Marketing Sdn Bhd (715326-P)  ·  No. 10, Jalan 9/7, Taman IKS Seksyen 9, 43650 Bandar Baru Bangi, Selangor  ·  Tel 03-8926 0012  ·  binapaint.com.my</w:t>
      </w:r>
    </w:p>
    <w:p>
      <w:r>
        <w:rPr>
          <w:i w:val="0"/>
          <w:color w:val="555B66"/>
          <w:sz w:val="18"/>
        </w:rPr>
        <w:t>SIRIM eco-label · MyHIJAU · SPAN registered  |  25+ years · 600+ sports courts delivered</w:t>
      </w:r>
    </w:p>
    <w:p>
      <w:r>
        <w:rPr>
          <w:i/>
          <w:color w:val="555B66"/>
          <w:sz w:val="18"/>
        </w:rPr>
        <w:t>This is an editable guide specification. Consultants/QS may adapt clauses to the specific sport, dimensions, substrate and project requirements. Confirm current product data against the latest Bina Paint TDS/SDS.</w:t>
      </w:r>
    </w:p>
    <w:p/>
    <w:p>
      <w:pPr>
        <w:pStyle w:val="Heading1"/>
      </w:pPr>
      <w:r>
        <w:rPr>
          <w:b/>
          <w:color w:val="15357E"/>
          <w:sz w:val="26"/>
        </w:rPr>
        <w:t>1. General</w:t>
      </w:r>
    </w:p>
    <w:p>
      <w:pPr>
        <w:pStyle w:val="Heading2"/>
      </w:pPr>
      <w:r>
        <w:rPr>
          <w:b/>
          <w:color w:val="15357E"/>
          <w:sz w:val="23"/>
        </w:rPr>
        <w:t>1.1 Scope</w:t>
      </w:r>
    </w:p>
    <w:p>
      <w:r>
        <w:rPr>
          <w:i w:val="0"/>
          <w:sz w:val="21"/>
        </w:rPr>
        <w:t>Supply and application of the Bina Duracourt water-based acrylic sports-court surfacing system over a new or existing concrete or bituminous (premix/asphalt) base, including surface preparation, system coats and court line-marking to the relevant federation standard for the nominated sport(s).</w:t>
      </w:r>
    </w:p>
    <w:p>
      <w:pPr>
        <w:pStyle w:val="Heading2"/>
      </w:pPr>
      <w:r>
        <w:rPr>
          <w:b/>
          <w:color w:val="15357E"/>
          <w:sz w:val="23"/>
        </w:rPr>
        <w:t>1.2 System description</w:t>
      </w:r>
    </w:p>
    <w:p>
      <w:r>
        <w:rPr>
          <w:i w:val="0"/>
          <w:sz w:val="21"/>
        </w:rPr>
        <w:t>A multi-coat acrylic surfacing system comprising a bitumen-emulsion binder coat (Duracourt BE3100) on concrete, acrylic mastic build coats, acrylic colour wearing coats and line-marking. Standard and Cushioned (Pro) build-ups are available. The system is non-skid, non-reflective, UV- and ponding-resistant, and suitable for indoor and outdoor courts.</w:t>
      </w:r>
    </w:p>
    <w:p>
      <w:pPr>
        <w:pStyle w:val="Heading2"/>
      </w:pPr>
      <w:r>
        <w:rPr>
          <w:b/>
          <w:color w:val="15357E"/>
          <w:sz w:val="23"/>
        </w:rPr>
        <w:t>1.3 Manufacturer</w:t>
      </w:r>
    </w:p>
    <w:p>
      <w:r>
        <w:rPr>
          <w:i w:val="0"/>
          <w:sz w:val="21"/>
        </w:rPr>
        <w:t>Bina Paint Marketing Sdn Bhd. Materials shall be the Bina Duracourt product line or approved equivalent. Manufacturer to provide TDS and SDS on request.</w:t>
      </w:r>
    </w:p>
    <w:p>
      <w:pPr>
        <w:pStyle w:val="Heading2"/>
      </w:pPr>
      <w:r>
        <w:rPr>
          <w:b/>
          <w:color w:val="15357E"/>
          <w:sz w:val="23"/>
        </w:rPr>
        <w:t>1.4 Applicator</w:t>
      </w:r>
    </w:p>
    <w:p>
      <w:r>
        <w:rPr>
          <w:i w:val="0"/>
          <w:sz w:val="21"/>
        </w:rPr>
        <w:t>Application by a Bina-approved applicator. Bina offers a single design–supply–install package.</w:t>
      </w:r>
    </w:p>
    <w:p>
      <w:pPr>
        <w:pStyle w:val="Heading2"/>
      </w:pPr>
      <w:r>
        <w:rPr>
          <w:b/>
          <w:color w:val="15357E"/>
          <w:sz w:val="23"/>
        </w:rPr>
        <w:t>1.5 References</w:t>
      </w:r>
    </w:p>
    <w:p>
      <w:pPr>
        <w:pStyle w:val="ListBullet"/>
      </w:pPr>
      <w:r>
        <w:t>Relevant federation court-dimension standards (e.g. FIFA/AMF futsal, BWF badminton, FIBA basketball, ITF tennis, IFNA netball, ISTAF sepak takraw, FIVB volleyball).</w:t>
      </w:r>
    </w:p>
    <w:p>
      <w:pPr>
        <w:pStyle w:val="ListBullet"/>
      </w:pPr>
      <w:r>
        <w:t>Bina Duracourt, Duracourt BE3100 (bitumen emulsion) and Bina Primacourt Technical Data Sheets (TDS) and Safety Data Sheets (SDS).</w:t>
      </w:r>
    </w:p>
    <w:p>
      <w:pPr>
        <w:pStyle w:val="ListBullet"/>
      </w:pPr>
      <w:r>
        <w:t>Manufacturer surface-preparation and application instructions.</w:t>
      </w:r>
    </w:p>
    <w:p>
      <w:pPr>
        <w:pStyle w:val="Heading1"/>
      </w:pPr>
      <w:r>
        <w:rPr>
          <w:b/>
          <w:color w:val="15357E"/>
          <w:sz w:val="26"/>
        </w:rPr>
        <w:t>2. Products / Materials</w:t>
      </w:r>
    </w:p>
    <w:p>
      <w:r>
        <w:rPr>
          <w:i w:val="0"/>
          <w:sz w:val="21"/>
        </w:rPr>
        <w:t>The Duracourt acrylic coats (Mastic and Colour) are single-component, water-based, low-VOC, ammonia-free and non-flammable (suitable for enclosed/indoor halls). The Duracourt BE3100 binder coat is a bitumen emulsion.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b/>
              </w:rPr>
              <w:t>Product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Function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Typical</w:t>
            </w:r>
          </w:p>
        </w:tc>
      </w:tr>
      <w:tr>
        <w:tc>
          <w:tcPr>
            <w:tcW w:type="dxa" w:w="2880"/>
          </w:tcPr>
          <w:p>
            <w:r>
              <w:t>Duracourt BE3100 - Bitumen Emulsion</w:t>
            </w:r>
          </w:p>
        </w:tc>
        <w:tc>
          <w:tcPr>
            <w:tcW w:type="dxa" w:w="2880"/>
          </w:tcPr>
          <w:p>
            <w:r>
              <w:t>Bitumen-emulsion primer/binder coat locking the system to a concrete substrate</w:t>
            </w:r>
          </w:p>
        </w:tc>
        <w:tc>
          <w:tcPr>
            <w:tcW w:type="dxa" w:w="2880"/>
          </w:tcPr>
          <w:p>
            <w:r>
              <w:t>1 coat (concrete)</w:t>
            </w:r>
          </w:p>
        </w:tc>
      </w:tr>
      <w:tr>
        <w:tc>
          <w:tcPr>
            <w:tcW w:type="dxa" w:w="2880"/>
          </w:tcPr>
          <w:p>
            <w:r>
              <w:t>Duracourt Mastic</w:t>
            </w:r>
          </w:p>
        </w:tc>
        <w:tc>
          <w:tcPr>
            <w:tcW w:type="dxa" w:w="2880"/>
          </w:tcPr>
          <w:p>
            <w:r>
              <w:t>Acrylic build/texture coats — level the surface and build grip</w:t>
            </w:r>
          </w:p>
        </w:tc>
        <w:tc>
          <w:tcPr>
            <w:tcW w:type="dxa" w:w="2880"/>
          </w:tcPr>
          <w:p>
            <w:r>
              <w:t>2 coats</w:t>
            </w:r>
          </w:p>
        </w:tc>
      </w:tr>
      <w:tr>
        <w:tc>
          <w:tcPr>
            <w:tcW w:type="dxa" w:w="2880"/>
          </w:tcPr>
          <w:p>
            <w:r>
              <w:t>Duracourt Colour</w:t>
            </w:r>
          </w:p>
        </w:tc>
        <w:tc>
          <w:tcPr>
            <w:tcW w:type="dxa" w:w="2880"/>
          </w:tcPr>
          <w:p>
            <w:r>
              <w:t>Water-based acrylic wearing/playing surface; matt, non-skid, non-reflective</w:t>
            </w:r>
          </w:p>
        </w:tc>
        <w:tc>
          <w:tcPr>
            <w:tcW w:type="dxa" w:w="2880"/>
          </w:tcPr>
          <w:p>
            <w:r>
              <w:t>2 coats</w:t>
            </w:r>
          </w:p>
        </w:tc>
      </w:tr>
      <w:tr>
        <w:tc>
          <w:tcPr>
            <w:tcW w:type="dxa" w:w="2880"/>
          </w:tcPr>
          <w:p>
            <w:r>
              <w:t>Acrylic line paint</w:t>
            </w:r>
          </w:p>
        </w:tc>
        <w:tc>
          <w:tcPr>
            <w:tcW w:type="dxa" w:w="2880"/>
          </w:tcPr>
          <w:p>
            <w:r>
              <w:t>Court line-marking paint, white / contrast colours</w:t>
            </w:r>
          </w:p>
        </w:tc>
        <w:tc>
          <w:tcPr>
            <w:tcW w:type="dxa" w:w="2880"/>
          </w:tcPr>
          <w:p>
            <w:r>
              <w:t>To standard</w:t>
            </w:r>
          </w:p>
        </w:tc>
      </w:tr>
    </w:tbl>
    <w:p>
      <w:r>
        <w:rPr>
          <w:i w:val="0"/>
          <w:color w:val="555B66"/>
          <w:sz w:val="18"/>
        </w:rPr>
        <w:t>Key product data (confirm against current TDS):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b/>
              </w:rPr>
              <w:t>Property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Value</w:t>
            </w:r>
          </w:p>
        </w:tc>
      </w:tr>
      <w:tr>
        <w:tc>
          <w:tcPr>
            <w:tcW w:type="dxa" w:w="4320"/>
          </w:tcPr>
          <w:p>
            <w:r>
              <w:t>Duracourt Colour — binder</w:t>
            </w:r>
          </w:p>
        </w:tc>
        <w:tc>
          <w:tcPr>
            <w:tcW w:type="dxa" w:w="4320"/>
          </w:tcPr>
          <w:p>
            <w:r>
              <w:t>Single-component water-based acrylic</w:t>
            </w:r>
          </w:p>
        </w:tc>
      </w:tr>
      <w:tr>
        <w:tc>
          <w:tcPr>
            <w:tcW w:type="dxa" w:w="4320"/>
          </w:tcPr>
          <w:p>
            <w:r>
              <w:t>Duracourt Colour — weight solids</w:t>
            </w:r>
          </w:p>
        </w:tc>
        <w:tc>
          <w:tcPr>
            <w:tcW w:type="dxa" w:w="4320"/>
          </w:tcPr>
          <w:p>
            <w:r>
              <w:t>65 ± 2 %</w:t>
            </w:r>
          </w:p>
        </w:tc>
      </w:tr>
      <w:tr>
        <w:tc>
          <w:tcPr>
            <w:tcW w:type="dxa" w:w="4320"/>
          </w:tcPr>
          <w:p>
            <w:r>
              <w:t>Duracourt Colour — coverage</w:t>
            </w:r>
          </w:p>
        </w:tc>
        <w:tc>
          <w:tcPr>
            <w:tcW w:type="dxa" w:w="4320"/>
          </w:tcPr>
          <w:p>
            <w:r>
              <w:t>0.2–0.4 L/m² over 2 coats</w:t>
            </w:r>
          </w:p>
        </w:tc>
      </w:tr>
      <w:tr>
        <w:tc>
          <w:tcPr>
            <w:tcW w:type="dxa" w:w="4320"/>
          </w:tcPr>
          <w:p>
            <w:r>
              <w:t>Duracourt Colour — finish</w:t>
            </w:r>
          </w:p>
        </w:tc>
        <w:tc>
          <w:tcPr>
            <w:tcW w:type="dxa" w:w="4320"/>
          </w:tcPr>
          <w:p>
            <w:r>
              <w:t>Matt · non-skid · non-reflective</w:t>
            </w:r>
          </w:p>
        </w:tc>
      </w:tr>
      <w:tr>
        <w:tc>
          <w:tcPr>
            <w:tcW w:type="dxa" w:w="4320"/>
          </w:tcPr>
          <w:p>
            <w:r>
              <w:t>Duracourt Colour — colours</w:t>
            </w:r>
          </w:p>
        </w:tc>
        <w:tc>
          <w:tcPr>
            <w:tcW w:type="dxa" w:w="4320"/>
          </w:tcPr>
          <w:p>
            <w:r>
              <w:t>Green, Red, Blue, White</w:t>
            </w:r>
          </w:p>
        </w:tc>
      </w:tr>
      <w:tr>
        <w:tc>
          <w:tcPr>
            <w:tcW w:type="dxa" w:w="4320"/>
          </w:tcPr>
          <w:p>
            <w:r>
              <w:t>Duracourt Colour — pack</w:t>
            </w:r>
          </w:p>
        </w:tc>
        <w:tc>
          <w:tcPr>
            <w:tcW w:type="dxa" w:w="4320"/>
          </w:tcPr>
          <w:p>
            <w:r>
              <w:t>20 kg pail / 200 kg drum</w:t>
            </w:r>
          </w:p>
        </w:tc>
      </w:tr>
      <w:tr>
        <w:tc>
          <w:tcPr>
            <w:tcW w:type="dxa" w:w="4320"/>
          </w:tcPr>
          <w:p>
            <w:r>
              <w:t>Primacourt (acrylic base) — volume solids</w:t>
            </w:r>
          </w:p>
        </w:tc>
        <w:tc>
          <w:tcPr>
            <w:tcW w:type="dxa" w:w="4320"/>
          </w:tcPr>
          <w:p>
            <w:r>
              <w:t>50 ± 3 %</w:t>
            </w:r>
          </w:p>
        </w:tc>
      </w:tr>
      <w:tr>
        <w:tc>
          <w:tcPr>
            <w:tcW w:type="dxa" w:w="4320"/>
          </w:tcPr>
          <w:p>
            <w:r>
              <w:t>Primacourt — coverage</w:t>
            </w:r>
          </w:p>
        </w:tc>
        <w:tc>
          <w:tcPr>
            <w:tcW w:type="dxa" w:w="4320"/>
          </w:tcPr>
          <w:p>
            <w:r>
              <w:t>~8 m²/L @ 50 microns</w:t>
            </w:r>
          </w:p>
        </w:tc>
      </w:tr>
      <w:tr>
        <w:tc>
          <w:tcPr>
            <w:tcW w:type="dxa" w:w="4320"/>
          </w:tcPr>
          <w:p>
            <w:r>
              <w:t>Primacourt — DFT</w:t>
            </w:r>
          </w:p>
        </w:tc>
        <w:tc>
          <w:tcPr>
            <w:tcW w:type="dxa" w:w="4320"/>
          </w:tcPr>
          <w:p>
            <w:r>
              <w:t>100–120 microns</w:t>
            </w:r>
          </w:p>
        </w:tc>
      </w:tr>
      <w:tr>
        <w:tc>
          <w:tcPr>
            <w:tcW w:type="dxa" w:w="4320"/>
          </w:tcPr>
          <w:p>
            <w:r>
              <w:t>Drying (25°C)</w:t>
            </w:r>
          </w:p>
        </w:tc>
        <w:tc>
          <w:tcPr>
            <w:tcW w:type="dxa" w:w="4320"/>
          </w:tcPr>
          <w:p>
            <w:r>
              <w:t>Touch dry ~30 min · recoat min 2 hr</w:t>
            </w:r>
          </w:p>
        </w:tc>
      </w:tr>
    </w:tbl>
    <w:p>
      <w:pPr>
        <w:pStyle w:val="Heading1"/>
      </w:pPr>
      <w:r>
        <w:rPr>
          <w:b/>
          <w:color w:val="15357E"/>
          <w:sz w:val="26"/>
        </w:rPr>
        <w:t>3. Substrate Requirements</w:t>
      </w:r>
    </w:p>
    <w:p>
      <w:pPr>
        <w:pStyle w:val="Heading2"/>
      </w:pPr>
      <w:r>
        <w:rPr>
          <w:b/>
          <w:color w:val="15357E"/>
          <w:sz w:val="23"/>
        </w:rPr>
        <w:t>3.1 New concrete</w:t>
      </w:r>
    </w:p>
    <w:p>
      <w:r>
        <w:rPr>
          <w:i w:val="0"/>
          <w:sz w:val="21"/>
        </w:rPr>
        <w:t>Power-floated or wood-float finish, cured a minimum of 28 days, free of curing compounds, laitance, oil and contaminants, and dry (low residual moisture) before coating.</w:t>
      </w:r>
    </w:p>
    <w:p>
      <w:pPr>
        <w:pStyle w:val="Heading2"/>
      </w:pPr>
      <w:r>
        <w:rPr>
          <w:b/>
          <w:color w:val="15357E"/>
          <w:sz w:val="23"/>
        </w:rPr>
        <w:t>3.2 New bituminous (premix / asphalt)</w:t>
      </w:r>
    </w:p>
    <w:p>
      <w:r>
        <w:rPr>
          <w:i w:val="0"/>
          <w:sz w:val="21"/>
        </w:rPr>
        <w:t>Typical base build-up: 50 mm premix wearing course over 150 mm crusher run over 50 mm sand blinding on compacted subgrade. Allow new asphalt to cure/oxidise before coating. Duracourt has excellent adhesion to bitumen.</w:t>
      </w:r>
    </w:p>
    <w:p>
      <w:pPr>
        <w:pStyle w:val="Heading2"/>
      </w:pPr>
      <w:r>
        <w:rPr>
          <w:b/>
          <w:color w:val="15357E"/>
          <w:sz w:val="23"/>
        </w:rPr>
        <w:t>3.3 Falls / drainage</w:t>
      </w:r>
    </w:p>
    <w:p>
      <w:r>
        <w:rPr>
          <w:i w:val="0"/>
          <w:sz w:val="21"/>
        </w:rPr>
        <w:t>Outdoor courts to a planar slope of 1% (1:100) minimum so water sheds freely. No ponding deeper than ~3 mm one hour after wetting; birdbaths to be filled and levelled before colour coats.</w:t>
      </w:r>
    </w:p>
    <w:p>
      <w:pPr>
        <w:pStyle w:val="Heading2"/>
      </w:pPr>
      <w:r>
        <w:rPr>
          <w:b/>
          <w:color w:val="15357E"/>
          <w:sz w:val="23"/>
        </w:rPr>
        <w:t>3.4 Surface tolerance</w:t>
      </w:r>
    </w:p>
    <w:p>
      <w:r>
        <w:rPr>
          <w:i w:val="0"/>
          <w:sz w:val="21"/>
        </w:rPr>
        <w:t>Finished base flat to ±3 mm under a 3 m straightedge.</w:t>
      </w:r>
    </w:p>
    <w:p>
      <w:pPr>
        <w:pStyle w:val="Heading1"/>
      </w:pPr>
      <w:r>
        <w:rPr>
          <w:b/>
          <w:color w:val="15357E"/>
          <w:sz w:val="26"/>
        </w:rPr>
        <w:t>4. Surface Preparation</w:t>
      </w:r>
    </w:p>
    <w:p>
      <w:pPr>
        <w:pStyle w:val="ListBullet"/>
      </w:pPr>
      <w:r>
        <w:t>Clean and degrease; pressure-wash to remove dirt, laitance and contaminants; allow to dry.</w:t>
      </w:r>
    </w:p>
    <w:p>
      <w:pPr>
        <w:pStyle w:val="ListBullet"/>
      </w:pPr>
      <w:r>
        <w:t>Rout and fill cracks; patch depressions and birdbaths with acrylic patch/mastic; allow to cure.</w:t>
      </w:r>
    </w:p>
    <w:p>
      <w:pPr>
        <w:pStyle w:val="ListBullet"/>
      </w:pPr>
      <w:r>
        <w:t>Concrete substrates: apply one coat of Duracourt BE3100 - Bitumen Emulsion primer/binder. Allow to dry.</w:t>
      </w:r>
    </w:p>
    <w:p>
      <w:pPr>
        <w:pStyle w:val="ListBullet"/>
      </w:pPr>
      <w:r>
        <w:t>Verify falls and surface tolerance before proceeding to build coats.</w:t>
      </w:r>
    </w:p>
    <w:p>
      <w:pPr>
        <w:pStyle w:val="Heading1"/>
      </w:pPr>
      <w:r>
        <w:rPr>
          <w:b/>
          <w:color w:val="15357E"/>
          <w:sz w:val="26"/>
        </w:rPr>
        <w:t>5. System Build-Up</w:t>
      </w:r>
    </w:p>
    <w:p>
      <w:r>
        <w:rPr>
          <w:i w:val="0"/>
          <w:sz w:val="21"/>
        </w:rPr>
        <w:t>Standard Duracourt build-up (top surface applied last):</w:t>
      </w:r>
    </w:p>
    <w:p>
      <w:r>
        <w:rPr>
          <w:i w:val="0"/>
          <w:color w:val="15357E"/>
          <w:sz w:val="21"/>
        </w:rPr>
        <w:t>A. On a concrete base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b/>
              </w:rPr>
              <w:t>Layer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Material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Coats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Duracourt BE3100 - Bitumen Emulsion</w:t>
            </w:r>
          </w:p>
        </w:tc>
        <w:tc>
          <w:tcPr>
            <w:tcW w:type="dxa" w:w="2880"/>
          </w:tcPr>
          <w:p>
            <w:r>
              <w:t>1 coat</w:t>
            </w:r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Duracourt Mastic</w:t>
            </w:r>
          </w:p>
        </w:tc>
        <w:tc>
          <w:tcPr>
            <w:tcW w:type="dxa" w:w="2880"/>
          </w:tcPr>
          <w:p>
            <w:r>
              <w:t>2 coats</w:t>
            </w:r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Duracourt Colour</w:t>
            </w:r>
          </w:p>
        </w:tc>
        <w:tc>
          <w:tcPr>
            <w:tcW w:type="dxa" w:w="2880"/>
          </w:tcPr>
          <w:p>
            <w:r>
              <w:t>2 coats</w:t>
            </w:r>
          </w:p>
        </w:tc>
      </w:tr>
      <w:tr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Line marking</w:t>
            </w:r>
          </w:p>
        </w:tc>
        <w:tc>
          <w:tcPr>
            <w:tcW w:type="dxa" w:w="2880"/>
          </w:tcPr>
          <w:p>
            <w:r>
              <w:t>To standard</w:t>
            </w:r>
          </w:p>
        </w:tc>
      </w:tr>
    </w:tbl>
    <w:p>
      <w:r>
        <w:rPr>
          <w:i w:val="0"/>
          <w:color w:val="15357E"/>
          <w:sz w:val="21"/>
        </w:rPr>
        <w:t>B. On a premix (asphalt) base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b/>
              </w:rPr>
              <w:t>Layer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Material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Coats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Premix wearing course (50 mm) over 150 mm crusher run + 50 mm sand blinding</w:t>
            </w:r>
          </w:p>
        </w:tc>
        <w:tc>
          <w:tcPr>
            <w:tcW w:type="dxa" w:w="2880"/>
          </w:tcPr>
          <w:p>
            <w:r>
              <w:t>Base</w:t>
            </w:r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Duracourt Mastic</w:t>
            </w:r>
          </w:p>
        </w:tc>
        <w:tc>
          <w:tcPr>
            <w:tcW w:type="dxa" w:w="2880"/>
          </w:tcPr>
          <w:p>
            <w:r>
              <w:t>2 coats</w:t>
            </w:r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Duracourt Colour</w:t>
            </w:r>
          </w:p>
        </w:tc>
        <w:tc>
          <w:tcPr>
            <w:tcW w:type="dxa" w:w="2880"/>
          </w:tcPr>
          <w:p>
            <w:r>
              <w:t>2 coats</w:t>
            </w:r>
          </w:p>
        </w:tc>
      </w:tr>
      <w:tr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Line marking</w:t>
            </w:r>
          </w:p>
        </w:tc>
        <w:tc>
          <w:tcPr>
            <w:tcW w:type="dxa" w:w="2880"/>
          </w:tcPr>
          <w:p>
            <w:r>
              <w:t>To standard</w:t>
            </w:r>
          </w:p>
        </w:tc>
      </w:tr>
    </w:tbl>
    <w:p>
      <w:r>
        <w:rPr>
          <w:i/>
          <w:sz w:val="21"/>
        </w:rPr>
        <w:t>Cushioned (Pro) option: additional resilient acrylic build coats between the base and colour coats for shock absorption and player comfort — recommended for competition and high-traffic courts. Specify "Cushioned" where required.</w:t>
      </w:r>
    </w:p>
    <w:p>
      <w:pPr>
        <w:pStyle w:val="Heading1"/>
      </w:pPr>
      <w:r>
        <w:rPr>
          <w:b/>
          <w:color w:val="15357E"/>
          <w:sz w:val="26"/>
        </w:rPr>
        <w:t>6. Application</w:t>
      </w:r>
    </w:p>
    <w:p>
      <w:pPr>
        <w:pStyle w:val="ListBullet"/>
      </w:pPr>
      <w:r>
        <w:t>Methods: brush, roller or rubber squeegee. For squeegee application the mastic may be blended with clean silica sand and clean water.</w:t>
      </w:r>
    </w:p>
    <w:p>
      <w:pPr>
        <w:pStyle w:val="ListBullet"/>
      </w:pPr>
      <w:r>
        <w:t>Mixing: stir thoroughly before use. On hot, sun-heated surfaces material may be thinned up to 1 part clean water to 4 parts Duracourt by volume.</w:t>
      </w:r>
    </w:p>
    <w:p>
      <w:pPr>
        <w:pStyle w:val="ListBullet"/>
      </w:pPr>
      <w:r>
        <w:t>Conditions: apply only to a clean, dry surface. Do not apply if rain is expected within the recoat window, in temperatures below ~10°C, or in conditions preventing proper film formation.</w:t>
      </w:r>
    </w:p>
    <w:p>
      <w:pPr>
        <w:pStyle w:val="ListBullet"/>
      </w:pPr>
      <w:r>
        <w:t>Recoat: touch dry ~30 minutes; allow a minimum of 2 hours between coats (longer in cool/humid conditions). Each coat must be fully dry before the next.</w:t>
      </w:r>
    </w:p>
    <w:p>
      <w:pPr>
        <w:pStyle w:val="ListBullet"/>
      </w:pPr>
      <w:r>
        <w:t>Apply successive coats at right angles where practicable for an even build.</w:t>
      </w:r>
    </w:p>
    <w:p>
      <w:pPr>
        <w:pStyle w:val="Heading1"/>
      </w:pPr>
      <w:r>
        <w:rPr>
          <w:b/>
          <w:color w:val="15357E"/>
          <w:sz w:val="26"/>
        </w:rPr>
        <w:t>7. Line Marking</w:t>
      </w:r>
    </w:p>
    <w:p>
      <w:r>
        <w:rPr>
          <w:i w:val="0"/>
          <w:sz w:val="21"/>
        </w:rPr>
        <w:t>Set out court lines to the relevant federation standard for the nominated sport(s). Mask and apply acrylic line paint in white or contrast colour. For multi-sport (multipurpose) courts, colour-code each sport’s lines for clarity.</w:t>
      </w:r>
    </w:p>
    <w:p>
      <w:pPr>
        <w:pStyle w:val="Heading1"/>
      </w:pPr>
      <w:r>
        <w:rPr>
          <w:b/>
          <w:color w:val="15357E"/>
          <w:sz w:val="26"/>
        </w:rPr>
        <w:t>8. Curing &amp; Opening to Play</w:t>
      </w:r>
    </w:p>
    <w:p>
      <w:r>
        <w:rPr>
          <w:i w:val="0"/>
          <w:sz w:val="21"/>
        </w:rPr>
        <w:t>Allow each coat to dry as specified. Permit light foot traffic only after the final coat is dry; open to full play after the system has cured. Where constructed on new concrete, allow the concrete to cure 14 days minimum (28 days recommended) before play.</w:t>
      </w:r>
    </w:p>
    <w:p>
      <w:pPr>
        <w:pStyle w:val="Heading1"/>
      </w:pPr>
      <w:r>
        <w:rPr>
          <w:b/>
          <w:color w:val="15357E"/>
          <w:sz w:val="26"/>
        </w:rPr>
        <w:t>9. Quality Assurance — Inspection Hold Points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b/>
              </w:rPr>
              <w:t>Hold point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Check</w:t>
            </w:r>
          </w:p>
        </w:tc>
      </w:tr>
      <w:tr>
        <w:tc>
          <w:tcPr>
            <w:tcW w:type="dxa" w:w="4320"/>
          </w:tcPr>
          <w:p>
            <w:r>
              <w:t>H1</w:t>
            </w:r>
          </w:p>
        </w:tc>
        <w:tc>
          <w:tcPr>
            <w:tcW w:type="dxa" w:w="4320"/>
          </w:tcPr>
          <w:p>
            <w:r>
              <w:t>Substrate acceptance — cure, moisture, falls (1%), tolerance, cleanliness</w:t>
            </w:r>
          </w:p>
        </w:tc>
      </w:tr>
      <w:tr>
        <w:tc>
          <w:tcPr>
            <w:tcW w:type="dxa" w:w="4320"/>
          </w:tcPr>
          <w:p>
            <w:r>
              <w:t>H2</w:t>
            </w:r>
          </w:p>
        </w:tc>
        <w:tc>
          <w:tcPr>
            <w:tcW w:type="dxa" w:w="4320"/>
          </w:tcPr>
          <w:p>
            <w:r>
              <w:t>Primer / binder coat acceptance (concrete)</w:t>
            </w:r>
          </w:p>
        </w:tc>
      </w:tr>
      <w:tr>
        <w:tc>
          <w:tcPr>
            <w:tcW w:type="dxa" w:w="4320"/>
          </w:tcPr>
          <w:p>
            <w:r>
              <w:t>H3</w:t>
            </w:r>
          </w:p>
        </w:tc>
        <w:tc>
          <w:tcPr>
            <w:tcW w:type="dxa" w:w="4320"/>
          </w:tcPr>
          <w:p>
            <w:r>
              <w:t>Build (mastic) and colour coat coverage checks</w:t>
            </w:r>
          </w:p>
        </w:tc>
      </w:tr>
      <w:tr>
        <w:tc>
          <w:tcPr>
            <w:tcW w:type="dxa" w:w="4320"/>
          </w:tcPr>
          <w:p>
            <w:r>
              <w:t>H4</w:t>
            </w:r>
          </w:p>
        </w:tc>
        <w:tc>
          <w:tcPr>
            <w:tcW w:type="dxa" w:w="4320"/>
          </w:tcPr>
          <w:p>
            <w:r>
              <w:t>Line-marking setting-out approval</w:t>
            </w:r>
          </w:p>
        </w:tc>
      </w:tr>
      <w:tr>
        <w:tc>
          <w:tcPr>
            <w:tcW w:type="dxa" w:w="4320"/>
          </w:tcPr>
          <w:p>
            <w:r>
              <w:t>H5</w:t>
            </w:r>
          </w:p>
        </w:tc>
        <w:tc>
          <w:tcPr>
            <w:tcW w:type="dxa" w:w="4320"/>
          </w:tcPr>
          <w:p>
            <w:r>
              <w:t>Final handover inspection</w:t>
            </w:r>
          </w:p>
        </w:tc>
      </w:tr>
    </w:tbl>
    <w:p>
      <w:pPr>
        <w:pStyle w:val="Heading1"/>
      </w:pPr>
      <w:r>
        <w:rPr>
          <w:b/>
          <w:color w:val="15357E"/>
          <w:sz w:val="26"/>
        </w:rPr>
        <w:t>10. Environmental &amp; Safety</w:t>
      </w:r>
    </w:p>
    <w:p>
      <w:pPr>
        <w:pStyle w:val="ListBullet"/>
      </w:pPr>
      <w:r>
        <w:t>Water-based, low-VOC, ammonia-free; SIRIM eco-label / MyHIJAU.</w:t>
      </w:r>
    </w:p>
    <w:p>
      <w:pPr>
        <w:pStyle w:val="ListBullet"/>
      </w:pPr>
      <w:r>
        <w:t>Non-flammable — suitable for enclosed and indoor halls where solvent-based coatings are not permitted.</w:t>
      </w:r>
    </w:p>
    <w:p>
      <w:pPr>
        <w:pStyle w:val="ListBullet"/>
      </w:pPr>
      <w:r>
        <w:t>Refer to product Safety Data Sheets (SDS) for handling, storage and PPE.</w:t>
      </w:r>
    </w:p>
    <w:p>
      <w:pPr>
        <w:pStyle w:val="Heading1"/>
      </w:pPr>
      <w:r>
        <w:rPr>
          <w:b/>
          <w:color w:val="15357E"/>
          <w:sz w:val="26"/>
        </w:rPr>
        <w:t>11. Warranty</w:t>
      </w:r>
    </w:p>
    <w:p>
      <w:r>
        <w:rPr>
          <w:i w:val="0"/>
          <w:sz w:val="21"/>
        </w:rPr>
        <w:t>System warranty provided by Bina Paint / the approved applicator on a per-project basis, subject to correct substrate, preparation, application and maintenance. Confirm warranty terms with Bina Paint for the specific project.</w:t>
      </w:r>
    </w:p>
    <w:p>
      <w:pPr>
        <w:pStyle w:val="Heading1"/>
      </w:pPr>
      <w:r>
        <w:rPr>
          <w:b/>
          <w:color w:val="15357E"/>
          <w:sz w:val="26"/>
        </w:rPr>
        <w:t>12. Maintenance</w:t>
      </w:r>
    </w:p>
    <w:p>
      <w:r>
        <w:rPr>
          <w:i w:val="0"/>
          <w:sz w:val="21"/>
        </w:rPr>
        <w:t>Routine cleaning and periodic inspection extend service life. Typical recoat/resurface cycle is approximately 5–8 years depending on usage and exposure. Refer to Bina Duracourt maintenance guidance.</w:t>
      </w:r>
    </w:p>
    <w:p>
      <w:pPr>
        <w:pStyle w:val="Heading1"/>
      </w:pPr>
      <w:r>
        <w:rPr>
          <w:b/>
          <w:color w:val="15357E"/>
          <w:sz w:val="26"/>
        </w:rPr>
        <w:t>13. Specification Support</w:t>
      </w:r>
    </w:p>
    <w:p>
      <w:r>
        <w:rPr>
          <w:i w:val="0"/>
          <w:sz w:val="21"/>
        </w:rPr>
        <w:t>Bina Paint — Tel/WhatsApp 03-8926 0012 · binapaint.com.my. Request current TDS, SDS, colour samples, court dimension diagrams and project-specific specification support.</w:t>
      </w:r>
    </w:p>
    <w:p/>
    <w:p>
      <w:r>
        <w:rPr>
          <w:i/>
          <w:color w:val="555B66"/>
          <w:sz w:val="16"/>
        </w:rPr>
        <w:t>Document: Bina Duracourt Guide Specification &amp; Method Statement (editable). Issued by Bina Paint Marketing Sdn Bhd. Verify against the latest manufacturer data before tender issue.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